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46" w:rsidRPr="00A248ED" w:rsidRDefault="00A248ED">
      <w:pPr>
        <w:rPr>
          <w:sz w:val="24"/>
          <w:u w:val="single"/>
        </w:rPr>
      </w:pPr>
      <w:r w:rsidRPr="00A248ED">
        <w:rPr>
          <w:sz w:val="24"/>
          <w:u w:val="single"/>
        </w:rPr>
        <w:t>COSME (</w:t>
      </w:r>
      <w:r w:rsidRPr="00A248ED">
        <w:rPr>
          <w:b/>
          <w:sz w:val="24"/>
          <w:u w:val="single"/>
        </w:rPr>
        <w:t>C</w:t>
      </w:r>
      <w:r w:rsidRPr="00A248ED">
        <w:rPr>
          <w:sz w:val="24"/>
          <w:u w:val="single"/>
        </w:rPr>
        <w:t xml:space="preserve">ompetitiveness </w:t>
      </w:r>
      <w:r w:rsidRPr="00A248ED">
        <w:rPr>
          <w:b/>
          <w:sz w:val="24"/>
          <w:u w:val="single"/>
        </w:rPr>
        <w:t>o</w:t>
      </w:r>
      <w:r w:rsidRPr="00A248ED">
        <w:rPr>
          <w:sz w:val="24"/>
          <w:u w:val="single"/>
        </w:rPr>
        <w:t xml:space="preserve">f </w:t>
      </w:r>
      <w:r w:rsidRPr="00A248ED">
        <w:rPr>
          <w:b/>
          <w:sz w:val="24"/>
          <w:u w:val="single"/>
        </w:rPr>
        <w:t>S</w:t>
      </w:r>
      <w:r w:rsidRPr="00A248ED">
        <w:rPr>
          <w:sz w:val="24"/>
          <w:u w:val="single"/>
        </w:rPr>
        <w:t xml:space="preserve">mall and </w:t>
      </w:r>
      <w:r w:rsidRPr="00A248ED">
        <w:rPr>
          <w:b/>
          <w:sz w:val="24"/>
          <w:u w:val="single"/>
        </w:rPr>
        <w:t>M</w:t>
      </w:r>
      <w:r w:rsidRPr="00A248ED">
        <w:rPr>
          <w:sz w:val="24"/>
          <w:u w:val="single"/>
        </w:rPr>
        <w:t xml:space="preserve">edium </w:t>
      </w:r>
      <w:r w:rsidRPr="00A248ED">
        <w:rPr>
          <w:b/>
          <w:sz w:val="24"/>
          <w:u w:val="single"/>
        </w:rPr>
        <w:t>E</w:t>
      </w:r>
      <w:r w:rsidRPr="00A248ED">
        <w:rPr>
          <w:sz w:val="24"/>
          <w:u w:val="single"/>
        </w:rPr>
        <w:t>nterprises)</w:t>
      </w:r>
    </w:p>
    <w:p w:rsidR="00000000" w:rsidRDefault="00A248ED" w:rsidP="00A248ED">
      <w:pPr>
        <w:rPr>
          <w:sz w:val="24"/>
        </w:rPr>
      </w:pPr>
      <w:r>
        <w:rPr>
          <w:sz w:val="24"/>
        </w:rPr>
        <w:t xml:space="preserve">COSME </w:t>
      </w:r>
      <w:r w:rsidR="00435B58" w:rsidRPr="00A248ED">
        <w:rPr>
          <w:sz w:val="24"/>
        </w:rPr>
        <w:t>İşletmelerin ve KOBİ’lerin Rekab</w:t>
      </w:r>
      <w:r>
        <w:rPr>
          <w:sz w:val="24"/>
        </w:rPr>
        <w:t>et Edebilirliği Programı,</w:t>
      </w:r>
      <w:r w:rsidR="00435B58" w:rsidRPr="00A248ED">
        <w:rPr>
          <w:sz w:val="24"/>
        </w:rPr>
        <w:t xml:space="preserve"> Avrupa Birliği tarafından fonlanan ve kriz sonrası AB ekonomisinin yeniden canlandırılma</w:t>
      </w:r>
      <w:r w:rsidR="009E591F">
        <w:rPr>
          <w:sz w:val="24"/>
        </w:rPr>
        <w:t xml:space="preserve">sı için başlatılan bir programdır. </w:t>
      </w:r>
      <w:r>
        <w:rPr>
          <w:sz w:val="24"/>
        </w:rPr>
        <w:t>COSME Programı ile mikro işletmelere, esnaf sanatkarlara ve sosyal işletmeler ile büyüme potansiyeline sahip olan yeni, genç ve kadın girişimcilere özel önem verilmektedir.</w:t>
      </w:r>
      <w:r w:rsidR="004E71F6">
        <w:rPr>
          <w:sz w:val="24"/>
        </w:rPr>
        <w:t xml:space="preserve"> KOSGEB, COSME Programı’nın ulusal koordinasyonundan sorumlu kuruluştur. </w:t>
      </w:r>
    </w:p>
    <w:p w:rsidR="004E71F6" w:rsidRDefault="00D77A8C" w:rsidP="00D77A8C">
      <w:pPr>
        <w:rPr>
          <w:sz w:val="24"/>
        </w:rPr>
      </w:pPr>
      <w:r>
        <w:rPr>
          <w:sz w:val="24"/>
        </w:rPr>
        <w:t xml:space="preserve">Bu bülten ile </w:t>
      </w:r>
      <w:r w:rsidR="004E71F6">
        <w:rPr>
          <w:sz w:val="24"/>
        </w:rPr>
        <w:t>COSME</w:t>
      </w:r>
      <w:r>
        <w:rPr>
          <w:sz w:val="24"/>
        </w:rPr>
        <w:t>’nin Finansmana Erişim Bileşeni hakkında sizleri bilgilendirmek isteriz.</w:t>
      </w:r>
    </w:p>
    <w:p w:rsidR="004E71F6" w:rsidRDefault="004E71F6" w:rsidP="004E71F6">
      <w:pPr>
        <w:rPr>
          <w:sz w:val="24"/>
          <w:u w:val="single"/>
        </w:rPr>
      </w:pPr>
      <w:r w:rsidRPr="00F41D9F">
        <w:rPr>
          <w:sz w:val="24"/>
          <w:u w:val="single"/>
        </w:rPr>
        <w:t>Finansmana Erişim Bileşeni:</w:t>
      </w:r>
    </w:p>
    <w:p w:rsidR="00F41D9F" w:rsidRDefault="00F41D9F" w:rsidP="004E71F6">
      <w:pPr>
        <w:rPr>
          <w:sz w:val="24"/>
        </w:rPr>
      </w:pPr>
      <w:r w:rsidRPr="00F41D9F">
        <w:rPr>
          <w:sz w:val="24"/>
        </w:rPr>
        <w:t>Finan</w:t>
      </w:r>
      <w:r>
        <w:rPr>
          <w:sz w:val="24"/>
        </w:rPr>
        <w:t>smana erişim bileşeni ile KOBİ’ler uygun ve esnek şartlarda kredi garantilerine ve risk sermayesine erişebilirken, bu desteklerin sağlanmasına aracılık eden finans kurumları ise sağladıkları krediler ve risk sermayesi bağlantılı oluşabilecek zararları Avrupa Yatırım Fonu kanalı ile telafi edebilmektedir. COSME altında, 2 farklı finansal araç sunulmaktadır:</w:t>
      </w:r>
    </w:p>
    <w:p w:rsidR="00F41D9F" w:rsidRDefault="00F41D9F" w:rsidP="00F41D9F">
      <w:pPr>
        <w:pStyle w:val="ListParagraph"/>
        <w:numPr>
          <w:ilvl w:val="0"/>
          <w:numId w:val="2"/>
        </w:numPr>
        <w:rPr>
          <w:sz w:val="24"/>
        </w:rPr>
      </w:pPr>
      <w:r w:rsidRPr="00F41D9F">
        <w:rPr>
          <w:sz w:val="24"/>
        </w:rPr>
        <w:t>Kredi Garanti Desteği – LGF (Loan Guarantee Facility)</w:t>
      </w:r>
    </w:p>
    <w:p w:rsidR="00F41D9F" w:rsidRPr="00F41D9F" w:rsidRDefault="00F41D9F" w:rsidP="00F41D9F">
      <w:pPr>
        <w:pStyle w:val="ListParagraph"/>
        <w:numPr>
          <w:ilvl w:val="0"/>
          <w:numId w:val="2"/>
        </w:numPr>
        <w:rPr>
          <w:sz w:val="24"/>
        </w:rPr>
      </w:pPr>
      <w:r>
        <w:rPr>
          <w:sz w:val="24"/>
        </w:rPr>
        <w:t>Büyüme Amaçlı Özkaynak Desteği – EFG (Equity Facility for Growth)</w:t>
      </w:r>
    </w:p>
    <w:p w:rsidR="0040180C" w:rsidRDefault="00F41D9F" w:rsidP="004E71F6">
      <w:pPr>
        <w:rPr>
          <w:sz w:val="24"/>
        </w:rPr>
      </w:pPr>
      <w:r w:rsidRPr="00F41D9F">
        <w:rPr>
          <w:sz w:val="24"/>
          <w:u w:val="single"/>
        </w:rPr>
        <w:t>Kredi Garanti Desteği – LGF</w:t>
      </w:r>
      <w:r>
        <w:rPr>
          <w:sz w:val="24"/>
        </w:rPr>
        <w:t xml:space="preserve"> </w:t>
      </w:r>
      <w:r w:rsidR="0040180C">
        <w:rPr>
          <w:sz w:val="24"/>
        </w:rPr>
        <w:t xml:space="preserve"> </w:t>
      </w:r>
      <w:r>
        <w:rPr>
          <w:sz w:val="24"/>
        </w:rPr>
        <w:t>(Loan Guarantee Facility) aracılığı ile işletmelere finansal kaynak sunmak için mali kurumlara teminat ve karşı teminat sağla</w:t>
      </w:r>
      <w:r w:rsidR="0040180C">
        <w:rPr>
          <w:sz w:val="24"/>
        </w:rPr>
        <w:t>n</w:t>
      </w:r>
      <w:r>
        <w:rPr>
          <w:sz w:val="24"/>
        </w:rPr>
        <w:t>maktadır. Riskin paylaşılmasıyla, COSME garantileri, geleneksel bankacılık sistemine erişimde zorluklar yaşayan büyüme odaklı KOBİ’lerin finansmana erişimini kolaylaştırarak, finansal aracıların finansman sağlayacakları KOBİ sayısını artırmalarına katkı sağlamaktadır.</w:t>
      </w:r>
      <w:r w:rsidR="0040180C">
        <w:rPr>
          <w:sz w:val="24"/>
        </w:rPr>
        <w:t xml:space="preserve"> </w:t>
      </w:r>
      <w:r w:rsidR="0040180C" w:rsidRPr="0040180C">
        <w:rPr>
          <w:sz w:val="24"/>
        </w:rPr>
        <w:t>KOBİ’ler için 150 bin EUR’a kadar olan kredilere garanti imkanı sunulmakta</w:t>
      </w:r>
      <w:r w:rsidR="009E591F">
        <w:rPr>
          <w:sz w:val="24"/>
        </w:rPr>
        <w:t>, hedef grup büyüme odaklı KOBİ’dir.</w:t>
      </w:r>
    </w:p>
    <w:p w:rsidR="00000000" w:rsidRDefault="0040180C" w:rsidP="0040180C">
      <w:pPr>
        <w:rPr>
          <w:sz w:val="24"/>
        </w:rPr>
      </w:pPr>
      <w:r>
        <w:rPr>
          <w:sz w:val="24"/>
        </w:rPr>
        <w:t xml:space="preserve">Kredi Garanti Desteğine </w:t>
      </w:r>
      <w:r w:rsidR="00435B58" w:rsidRPr="0040180C">
        <w:rPr>
          <w:sz w:val="24"/>
        </w:rPr>
        <w:t xml:space="preserve">aracı olan kurumlar: </w:t>
      </w:r>
    </w:p>
    <w:p w:rsidR="005F293F" w:rsidRPr="005F293F" w:rsidRDefault="005F293F" w:rsidP="005F293F">
      <w:pPr>
        <w:rPr>
          <w:sz w:val="24"/>
        </w:rPr>
      </w:pPr>
      <w:hyperlink r:id="rId5" w:history="1">
        <w:r w:rsidRPr="005F293F">
          <w:rPr>
            <w:rStyle w:val="Hyperlink"/>
            <w:sz w:val="24"/>
          </w:rPr>
          <w:t>http://</w:t>
        </w:r>
      </w:hyperlink>
      <w:hyperlink r:id="rId6" w:history="1">
        <w:r w:rsidRPr="005F293F">
          <w:rPr>
            <w:rStyle w:val="Hyperlink"/>
            <w:sz w:val="24"/>
          </w:rPr>
          <w:t>europa.eu/youreurope/business/funding-grants/access-to-finance/search/en/financial-intermediaries?shs_term_node_tid_depth=2124</w:t>
        </w:r>
      </w:hyperlink>
    </w:p>
    <w:p w:rsidR="0040180C" w:rsidRDefault="0040180C" w:rsidP="004E71F6">
      <w:pPr>
        <w:rPr>
          <w:sz w:val="24"/>
        </w:rPr>
      </w:pPr>
      <w:r>
        <w:rPr>
          <w:sz w:val="24"/>
        </w:rPr>
        <w:t>Kredi Garanti Desteği ile daha detaylı bilgi için:</w:t>
      </w:r>
    </w:p>
    <w:p w:rsidR="0040180C" w:rsidRDefault="0040180C" w:rsidP="004E71F6">
      <w:pPr>
        <w:rPr>
          <w:sz w:val="24"/>
        </w:rPr>
      </w:pPr>
      <w:hyperlink r:id="rId7" w:history="1">
        <w:r w:rsidRPr="004D2B1D">
          <w:rPr>
            <w:rStyle w:val="Hyperlink"/>
            <w:sz w:val="24"/>
          </w:rPr>
          <w:t>http://www.eif.org/what_we_do/guarantees/single_eu_debt_instrument/cosme-loan-facility-growth/index.htm</w:t>
        </w:r>
      </w:hyperlink>
    </w:p>
    <w:p w:rsidR="005F293F" w:rsidRDefault="005F293F" w:rsidP="005F293F">
      <w:r w:rsidRPr="005F293F">
        <w:rPr>
          <w:sz w:val="24"/>
          <w:u w:val="single"/>
        </w:rPr>
        <w:t>Büyüme Amaçlı Özkaynak Desteği - EFG</w:t>
      </w:r>
      <w:r w:rsidRPr="005F293F">
        <w:rPr>
          <w:sz w:val="24"/>
        </w:rPr>
        <w:t xml:space="preserve"> (Equity Facility for Growth)</w:t>
      </w:r>
      <w:r>
        <w:rPr>
          <w:sz w:val="24"/>
        </w:rPr>
        <w:t xml:space="preserve"> aracılığı ile genişleme ve büyüme evrelerindeki KOBİ’lere yatırım yapan özkaynak fonlarına risk sermayesi sağlanmaktadır. </w:t>
      </w:r>
      <w:r w:rsidRPr="005F293F">
        <w:t>EIF (Avrupa Yatırım Fonu) aracı kuruluş olarak seçilen risk sermayesi fonlarına ve özel sermaye fonlarına yatırım yapar, aracı kuruluş ta gelişme ve büyüme evresindeki KOBİ’lere bu fon’dan finansman sağlar.</w:t>
      </w:r>
      <w:r>
        <w:t xml:space="preserve"> </w:t>
      </w:r>
      <w:r w:rsidRPr="005F293F">
        <w:t xml:space="preserve">Seçilen bir finansal aracı kuruluşa, toplam taahütlerin %25‘i limitinde, 30 Mio EUR’a kadar yatırım yapılabilir. </w:t>
      </w:r>
    </w:p>
    <w:p w:rsidR="005F293F" w:rsidRDefault="005F293F" w:rsidP="005F293F">
      <w:pPr>
        <w:rPr>
          <w:sz w:val="24"/>
        </w:rPr>
      </w:pPr>
      <w:r>
        <w:rPr>
          <w:sz w:val="24"/>
        </w:rPr>
        <w:t>Büyüme Amaçlı Özkaynak</w:t>
      </w:r>
      <w:r>
        <w:rPr>
          <w:sz w:val="24"/>
        </w:rPr>
        <w:t xml:space="preserve"> </w:t>
      </w:r>
      <w:r>
        <w:rPr>
          <w:sz w:val="24"/>
        </w:rPr>
        <w:t xml:space="preserve">Desteğine </w:t>
      </w:r>
      <w:r w:rsidRPr="0040180C">
        <w:rPr>
          <w:sz w:val="24"/>
        </w:rPr>
        <w:t xml:space="preserve">aracı olan kurumlar: </w:t>
      </w:r>
    </w:p>
    <w:p w:rsidR="005F293F" w:rsidRPr="005F293F" w:rsidRDefault="005F293F" w:rsidP="005F293F">
      <w:pPr>
        <w:rPr>
          <w:sz w:val="24"/>
        </w:rPr>
      </w:pPr>
      <w:hyperlink r:id="rId8" w:history="1">
        <w:r w:rsidRPr="005F293F">
          <w:rPr>
            <w:rStyle w:val="Hyperlink"/>
            <w:sz w:val="24"/>
          </w:rPr>
          <w:t>http://</w:t>
        </w:r>
      </w:hyperlink>
      <w:hyperlink r:id="rId9" w:history="1">
        <w:r w:rsidRPr="005F293F">
          <w:rPr>
            <w:rStyle w:val="Hyperlink"/>
            <w:sz w:val="24"/>
          </w:rPr>
          <w:t>europa.eu/youreurope/business/funding-grants/access-to-finance/search/en/financial-intermediaries?shs_term_node_tid_depth=2124</w:t>
        </w:r>
      </w:hyperlink>
    </w:p>
    <w:p w:rsidR="005F293F" w:rsidRDefault="005F293F" w:rsidP="005F293F">
      <w:pPr>
        <w:rPr>
          <w:sz w:val="24"/>
        </w:rPr>
      </w:pPr>
      <w:r>
        <w:rPr>
          <w:sz w:val="24"/>
        </w:rPr>
        <w:t xml:space="preserve">Büyüme Amaçlı Özkaynak Desteği </w:t>
      </w:r>
      <w:r>
        <w:rPr>
          <w:sz w:val="24"/>
        </w:rPr>
        <w:t xml:space="preserve"> ile daha detaylı bilgi için:</w:t>
      </w:r>
    </w:p>
    <w:p w:rsidR="005F293F" w:rsidRDefault="005F293F" w:rsidP="005F293F">
      <w:hyperlink r:id="rId10" w:history="1">
        <w:r w:rsidRPr="004D2B1D">
          <w:rPr>
            <w:rStyle w:val="Hyperlink"/>
          </w:rPr>
          <w:t>http://www.eif.org/what_we_do/equity/single_eu_equity_instrument/cosme_efg/index.htm</w:t>
        </w:r>
      </w:hyperlink>
    </w:p>
    <w:p w:rsidR="00A96146" w:rsidRPr="00D77A8C" w:rsidRDefault="00D77A8C" w:rsidP="00D77A8C">
      <w:pPr>
        <w:rPr>
          <w:sz w:val="24"/>
        </w:rPr>
      </w:pPr>
      <w:r w:rsidRPr="00D77A8C">
        <w:rPr>
          <w:sz w:val="24"/>
        </w:rPr>
        <w:lastRenderedPageBreak/>
        <w:t xml:space="preserve">COSME Programı </w:t>
      </w:r>
      <w:r w:rsidR="00435B58">
        <w:rPr>
          <w:sz w:val="24"/>
        </w:rPr>
        <w:t>f</w:t>
      </w:r>
      <w:r w:rsidRPr="00D77A8C">
        <w:rPr>
          <w:sz w:val="24"/>
        </w:rPr>
        <w:t>inansmana erişim</w:t>
      </w:r>
      <w:r w:rsidRPr="00D77A8C">
        <w:rPr>
          <w:sz w:val="24"/>
        </w:rPr>
        <w:t xml:space="preserve"> dışında </w:t>
      </w:r>
      <w:r w:rsidR="00435B58">
        <w:rPr>
          <w:sz w:val="24"/>
        </w:rPr>
        <w:t>p</w:t>
      </w:r>
      <w:bookmarkStart w:id="0" w:name="_GoBack"/>
      <w:bookmarkEnd w:id="0"/>
      <w:r w:rsidRPr="00D77A8C">
        <w:rPr>
          <w:sz w:val="24"/>
        </w:rPr>
        <w:t>azarlara erişim</w:t>
      </w:r>
      <w:r>
        <w:rPr>
          <w:sz w:val="24"/>
        </w:rPr>
        <w:t>,</w:t>
      </w:r>
      <w:r w:rsidRPr="00D77A8C">
        <w:rPr>
          <w:sz w:val="24"/>
        </w:rPr>
        <w:t xml:space="preserve"> </w:t>
      </w:r>
      <w:r>
        <w:rPr>
          <w:sz w:val="24"/>
        </w:rPr>
        <w:t>ç</w:t>
      </w:r>
      <w:r w:rsidRPr="00D77A8C">
        <w:rPr>
          <w:sz w:val="24"/>
        </w:rPr>
        <w:t>erçeve koşullarının iyileştirilmesi</w:t>
      </w:r>
      <w:r>
        <w:rPr>
          <w:sz w:val="24"/>
        </w:rPr>
        <w:t xml:space="preserve"> ve</w:t>
      </w:r>
      <w:r w:rsidRPr="00D77A8C">
        <w:rPr>
          <w:sz w:val="24"/>
        </w:rPr>
        <w:t xml:space="preserve"> </w:t>
      </w:r>
      <w:r>
        <w:rPr>
          <w:sz w:val="24"/>
        </w:rPr>
        <w:t>g</w:t>
      </w:r>
      <w:r w:rsidRPr="00D77A8C">
        <w:rPr>
          <w:sz w:val="24"/>
        </w:rPr>
        <w:t>irişimcilik ve girişimci kültürü</w:t>
      </w:r>
      <w:r>
        <w:rPr>
          <w:sz w:val="24"/>
        </w:rPr>
        <w:t xml:space="preserve"> bileşenleri ile KOBİ’leri desteklemektedir. </w:t>
      </w:r>
      <w:r w:rsidR="009E591F">
        <w:t>COSME programı ile ilgili</w:t>
      </w:r>
      <w:r>
        <w:t xml:space="preserve"> daha detaylı</w:t>
      </w:r>
      <w:r w:rsidR="009E591F">
        <w:t xml:space="preserve"> </w:t>
      </w:r>
      <w:r w:rsidR="00A96146">
        <w:t>bilgi</w:t>
      </w:r>
      <w:r>
        <w:t xml:space="preserve"> almak</w:t>
      </w:r>
      <w:r w:rsidR="00A96146">
        <w:t xml:space="preserve"> için:</w:t>
      </w:r>
    </w:p>
    <w:p w:rsidR="00A96146" w:rsidRDefault="00A96146" w:rsidP="005F293F">
      <w:hyperlink r:id="rId11" w:history="1">
        <w:r w:rsidRPr="004D2B1D">
          <w:rPr>
            <w:rStyle w:val="Hyperlink"/>
          </w:rPr>
          <w:t>http://cosme.kosgeb.gov.tr/</w:t>
        </w:r>
      </w:hyperlink>
    </w:p>
    <w:p w:rsidR="005F293F" w:rsidRPr="005F293F" w:rsidRDefault="005F293F" w:rsidP="005F293F"/>
    <w:p w:rsidR="0040180C" w:rsidRPr="004E71F6" w:rsidRDefault="0040180C" w:rsidP="004E71F6">
      <w:pPr>
        <w:rPr>
          <w:sz w:val="24"/>
        </w:rPr>
      </w:pPr>
    </w:p>
    <w:p w:rsidR="004E71F6" w:rsidRDefault="004E71F6" w:rsidP="00A248ED">
      <w:pPr>
        <w:rPr>
          <w:sz w:val="24"/>
        </w:rPr>
      </w:pPr>
    </w:p>
    <w:p w:rsidR="00A248ED" w:rsidRDefault="00A248ED" w:rsidP="00A248ED">
      <w:pPr>
        <w:rPr>
          <w:sz w:val="24"/>
        </w:rPr>
      </w:pPr>
    </w:p>
    <w:p w:rsidR="00A248ED" w:rsidRDefault="00A248ED" w:rsidP="00A248ED">
      <w:pPr>
        <w:rPr>
          <w:sz w:val="24"/>
        </w:rPr>
      </w:pPr>
    </w:p>
    <w:p w:rsidR="00A248ED" w:rsidRPr="00A248ED" w:rsidRDefault="00A248ED" w:rsidP="00A248ED">
      <w:pPr>
        <w:rPr>
          <w:sz w:val="24"/>
        </w:rPr>
      </w:pPr>
    </w:p>
    <w:p w:rsidR="00A248ED" w:rsidRPr="00A248ED" w:rsidRDefault="00A248ED">
      <w:pPr>
        <w:rPr>
          <w:sz w:val="24"/>
        </w:rPr>
      </w:pPr>
    </w:p>
    <w:sectPr w:rsidR="00A248ED" w:rsidRPr="00A24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4581D"/>
    <w:multiLevelType w:val="hybridMultilevel"/>
    <w:tmpl w:val="F3A6A6B4"/>
    <w:lvl w:ilvl="0" w:tplc="1F04531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032745"/>
    <w:multiLevelType w:val="hybridMultilevel"/>
    <w:tmpl w:val="67522E26"/>
    <w:lvl w:ilvl="0" w:tplc="B188372E">
      <w:start w:val="1"/>
      <w:numFmt w:val="bullet"/>
      <w:lvlText w:val="-"/>
      <w:lvlJc w:val="left"/>
      <w:pPr>
        <w:tabs>
          <w:tab w:val="num" w:pos="720"/>
        </w:tabs>
        <w:ind w:left="720" w:hanging="360"/>
      </w:pPr>
      <w:rPr>
        <w:rFonts w:ascii="Times New Roman" w:hAnsi="Times New Roman" w:hint="default"/>
      </w:rPr>
    </w:lvl>
    <w:lvl w:ilvl="1" w:tplc="49D01D2E" w:tentative="1">
      <w:start w:val="1"/>
      <w:numFmt w:val="bullet"/>
      <w:lvlText w:val="-"/>
      <w:lvlJc w:val="left"/>
      <w:pPr>
        <w:tabs>
          <w:tab w:val="num" w:pos="1440"/>
        </w:tabs>
        <w:ind w:left="1440" w:hanging="360"/>
      </w:pPr>
      <w:rPr>
        <w:rFonts w:ascii="Times New Roman" w:hAnsi="Times New Roman" w:hint="default"/>
      </w:rPr>
    </w:lvl>
    <w:lvl w:ilvl="2" w:tplc="CCFA2454" w:tentative="1">
      <w:start w:val="1"/>
      <w:numFmt w:val="bullet"/>
      <w:lvlText w:val="-"/>
      <w:lvlJc w:val="left"/>
      <w:pPr>
        <w:tabs>
          <w:tab w:val="num" w:pos="2160"/>
        </w:tabs>
        <w:ind w:left="2160" w:hanging="360"/>
      </w:pPr>
      <w:rPr>
        <w:rFonts w:ascii="Times New Roman" w:hAnsi="Times New Roman" w:hint="default"/>
      </w:rPr>
    </w:lvl>
    <w:lvl w:ilvl="3" w:tplc="0040CDD0" w:tentative="1">
      <w:start w:val="1"/>
      <w:numFmt w:val="bullet"/>
      <w:lvlText w:val="-"/>
      <w:lvlJc w:val="left"/>
      <w:pPr>
        <w:tabs>
          <w:tab w:val="num" w:pos="2880"/>
        </w:tabs>
        <w:ind w:left="2880" w:hanging="360"/>
      </w:pPr>
      <w:rPr>
        <w:rFonts w:ascii="Times New Roman" w:hAnsi="Times New Roman" w:hint="default"/>
      </w:rPr>
    </w:lvl>
    <w:lvl w:ilvl="4" w:tplc="216EBD6C" w:tentative="1">
      <w:start w:val="1"/>
      <w:numFmt w:val="bullet"/>
      <w:lvlText w:val="-"/>
      <w:lvlJc w:val="left"/>
      <w:pPr>
        <w:tabs>
          <w:tab w:val="num" w:pos="3600"/>
        </w:tabs>
        <w:ind w:left="3600" w:hanging="360"/>
      </w:pPr>
      <w:rPr>
        <w:rFonts w:ascii="Times New Roman" w:hAnsi="Times New Roman" w:hint="default"/>
      </w:rPr>
    </w:lvl>
    <w:lvl w:ilvl="5" w:tplc="53CC0F80" w:tentative="1">
      <w:start w:val="1"/>
      <w:numFmt w:val="bullet"/>
      <w:lvlText w:val="-"/>
      <w:lvlJc w:val="left"/>
      <w:pPr>
        <w:tabs>
          <w:tab w:val="num" w:pos="4320"/>
        </w:tabs>
        <w:ind w:left="4320" w:hanging="360"/>
      </w:pPr>
      <w:rPr>
        <w:rFonts w:ascii="Times New Roman" w:hAnsi="Times New Roman" w:hint="default"/>
      </w:rPr>
    </w:lvl>
    <w:lvl w:ilvl="6" w:tplc="F920025A" w:tentative="1">
      <w:start w:val="1"/>
      <w:numFmt w:val="bullet"/>
      <w:lvlText w:val="-"/>
      <w:lvlJc w:val="left"/>
      <w:pPr>
        <w:tabs>
          <w:tab w:val="num" w:pos="5040"/>
        </w:tabs>
        <w:ind w:left="5040" w:hanging="360"/>
      </w:pPr>
      <w:rPr>
        <w:rFonts w:ascii="Times New Roman" w:hAnsi="Times New Roman" w:hint="default"/>
      </w:rPr>
    </w:lvl>
    <w:lvl w:ilvl="7" w:tplc="87B83550" w:tentative="1">
      <w:start w:val="1"/>
      <w:numFmt w:val="bullet"/>
      <w:lvlText w:val="-"/>
      <w:lvlJc w:val="left"/>
      <w:pPr>
        <w:tabs>
          <w:tab w:val="num" w:pos="5760"/>
        </w:tabs>
        <w:ind w:left="5760" w:hanging="360"/>
      </w:pPr>
      <w:rPr>
        <w:rFonts w:ascii="Times New Roman" w:hAnsi="Times New Roman" w:hint="default"/>
      </w:rPr>
    </w:lvl>
    <w:lvl w:ilvl="8" w:tplc="92486C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DFA41F7"/>
    <w:multiLevelType w:val="hybridMultilevel"/>
    <w:tmpl w:val="D13C6688"/>
    <w:lvl w:ilvl="0" w:tplc="C7CED676">
      <w:start w:val="1"/>
      <w:numFmt w:val="bullet"/>
      <w:lvlText w:val=""/>
      <w:lvlJc w:val="left"/>
      <w:pPr>
        <w:tabs>
          <w:tab w:val="num" w:pos="720"/>
        </w:tabs>
        <w:ind w:left="720" w:hanging="360"/>
      </w:pPr>
      <w:rPr>
        <w:rFonts w:ascii="Wingdings" w:hAnsi="Wingdings" w:hint="default"/>
      </w:rPr>
    </w:lvl>
    <w:lvl w:ilvl="1" w:tplc="EC0296A6" w:tentative="1">
      <w:start w:val="1"/>
      <w:numFmt w:val="bullet"/>
      <w:lvlText w:val=""/>
      <w:lvlJc w:val="left"/>
      <w:pPr>
        <w:tabs>
          <w:tab w:val="num" w:pos="1440"/>
        </w:tabs>
        <w:ind w:left="1440" w:hanging="360"/>
      </w:pPr>
      <w:rPr>
        <w:rFonts w:ascii="Wingdings" w:hAnsi="Wingdings" w:hint="default"/>
      </w:rPr>
    </w:lvl>
    <w:lvl w:ilvl="2" w:tplc="EF1487B6" w:tentative="1">
      <w:start w:val="1"/>
      <w:numFmt w:val="bullet"/>
      <w:lvlText w:val=""/>
      <w:lvlJc w:val="left"/>
      <w:pPr>
        <w:tabs>
          <w:tab w:val="num" w:pos="2160"/>
        </w:tabs>
        <w:ind w:left="2160" w:hanging="360"/>
      </w:pPr>
      <w:rPr>
        <w:rFonts w:ascii="Wingdings" w:hAnsi="Wingdings" w:hint="default"/>
      </w:rPr>
    </w:lvl>
    <w:lvl w:ilvl="3" w:tplc="EE82A910" w:tentative="1">
      <w:start w:val="1"/>
      <w:numFmt w:val="bullet"/>
      <w:lvlText w:val=""/>
      <w:lvlJc w:val="left"/>
      <w:pPr>
        <w:tabs>
          <w:tab w:val="num" w:pos="2880"/>
        </w:tabs>
        <w:ind w:left="2880" w:hanging="360"/>
      </w:pPr>
      <w:rPr>
        <w:rFonts w:ascii="Wingdings" w:hAnsi="Wingdings" w:hint="default"/>
      </w:rPr>
    </w:lvl>
    <w:lvl w:ilvl="4" w:tplc="656EB75E" w:tentative="1">
      <w:start w:val="1"/>
      <w:numFmt w:val="bullet"/>
      <w:lvlText w:val=""/>
      <w:lvlJc w:val="left"/>
      <w:pPr>
        <w:tabs>
          <w:tab w:val="num" w:pos="3600"/>
        </w:tabs>
        <w:ind w:left="3600" w:hanging="360"/>
      </w:pPr>
      <w:rPr>
        <w:rFonts w:ascii="Wingdings" w:hAnsi="Wingdings" w:hint="default"/>
      </w:rPr>
    </w:lvl>
    <w:lvl w:ilvl="5" w:tplc="3EF825D0" w:tentative="1">
      <w:start w:val="1"/>
      <w:numFmt w:val="bullet"/>
      <w:lvlText w:val=""/>
      <w:lvlJc w:val="left"/>
      <w:pPr>
        <w:tabs>
          <w:tab w:val="num" w:pos="4320"/>
        </w:tabs>
        <w:ind w:left="4320" w:hanging="360"/>
      </w:pPr>
      <w:rPr>
        <w:rFonts w:ascii="Wingdings" w:hAnsi="Wingdings" w:hint="default"/>
      </w:rPr>
    </w:lvl>
    <w:lvl w:ilvl="6" w:tplc="E81AC192" w:tentative="1">
      <w:start w:val="1"/>
      <w:numFmt w:val="bullet"/>
      <w:lvlText w:val=""/>
      <w:lvlJc w:val="left"/>
      <w:pPr>
        <w:tabs>
          <w:tab w:val="num" w:pos="5040"/>
        </w:tabs>
        <w:ind w:left="5040" w:hanging="360"/>
      </w:pPr>
      <w:rPr>
        <w:rFonts w:ascii="Wingdings" w:hAnsi="Wingdings" w:hint="default"/>
      </w:rPr>
    </w:lvl>
    <w:lvl w:ilvl="7" w:tplc="9CF8814E" w:tentative="1">
      <w:start w:val="1"/>
      <w:numFmt w:val="bullet"/>
      <w:lvlText w:val=""/>
      <w:lvlJc w:val="left"/>
      <w:pPr>
        <w:tabs>
          <w:tab w:val="num" w:pos="5760"/>
        </w:tabs>
        <w:ind w:left="5760" w:hanging="360"/>
      </w:pPr>
      <w:rPr>
        <w:rFonts w:ascii="Wingdings" w:hAnsi="Wingdings" w:hint="default"/>
      </w:rPr>
    </w:lvl>
    <w:lvl w:ilvl="8" w:tplc="15C6939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ED"/>
    <w:rsid w:val="000E1CBC"/>
    <w:rsid w:val="0040180C"/>
    <w:rsid w:val="00435B58"/>
    <w:rsid w:val="004E71F6"/>
    <w:rsid w:val="005F293F"/>
    <w:rsid w:val="009E591F"/>
    <w:rsid w:val="00A248ED"/>
    <w:rsid w:val="00A96146"/>
    <w:rsid w:val="00D25D46"/>
    <w:rsid w:val="00D77A8C"/>
    <w:rsid w:val="00F41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035B1-02DA-434A-B1A6-BCC258D7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1F6"/>
    <w:pPr>
      <w:ind w:left="720"/>
      <w:contextualSpacing/>
    </w:pPr>
  </w:style>
  <w:style w:type="character" w:styleId="Hyperlink">
    <w:name w:val="Hyperlink"/>
    <w:basedOn w:val="DefaultParagraphFont"/>
    <w:uiPriority w:val="99"/>
    <w:unhideWhenUsed/>
    <w:rsid w:val="0040180C"/>
    <w:rPr>
      <w:color w:val="0563C1" w:themeColor="hyperlink"/>
      <w:u w:val="single"/>
    </w:rPr>
  </w:style>
  <w:style w:type="paragraph" w:styleId="NormalWeb">
    <w:name w:val="Normal (Web)"/>
    <w:basedOn w:val="Normal"/>
    <w:uiPriority w:val="99"/>
    <w:semiHidden/>
    <w:unhideWhenUsed/>
    <w:rsid w:val="005F293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6083">
      <w:bodyDiv w:val="1"/>
      <w:marLeft w:val="0"/>
      <w:marRight w:val="0"/>
      <w:marTop w:val="0"/>
      <w:marBottom w:val="0"/>
      <w:divBdr>
        <w:top w:val="none" w:sz="0" w:space="0" w:color="auto"/>
        <w:left w:val="none" w:sz="0" w:space="0" w:color="auto"/>
        <w:bottom w:val="none" w:sz="0" w:space="0" w:color="auto"/>
        <w:right w:val="none" w:sz="0" w:space="0" w:color="auto"/>
      </w:divBdr>
    </w:div>
    <w:div w:id="162428479">
      <w:bodyDiv w:val="1"/>
      <w:marLeft w:val="0"/>
      <w:marRight w:val="0"/>
      <w:marTop w:val="0"/>
      <w:marBottom w:val="0"/>
      <w:divBdr>
        <w:top w:val="none" w:sz="0" w:space="0" w:color="auto"/>
        <w:left w:val="none" w:sz="0" w:space="0" w:color="auto"/>
        <w:bottom w:val="none" w:sz="0" w:space="0" w:color="auto"/>
        <w:right w:val="none" w:sz="0" w:space="0" w:color="auto"/>
      </w:divBdr>
    </w:div>
    <w:div w:id="542208772">
      <w:bodyDiv w:val="1"/>
      <w:marLeft w:val="0"/>
      <w:marRight w:val="0"/>
      <w:marTop w:val="0"/>
      <w:marBottom w:val="0"/>
      <w:divBdr>
        <w:top w:val="none" w:sz="0" w:space="0" w:color="auto"/>
        <w:left w:val="none" w:sz="0" w:space="0" w:color="auto"/>
        <w:bottom w:val="none" w:sz="0" w:space="0" w:color="auto"/>
        <w:right w:val="none" w:sz="0" w:space="0" w:color="auto"/>
      </w:divBdr>
    </w:div>
    <w:div w:id="621956551">
      <w:bodyDiv w:val="1"/>
      <w:marLeft w:val="0"/>
      <w:marRight w:val="0"/>
      <w:marTop w:val="0"/>
      <w:marBottom w:val="0"/>
      <w:divBdr>
        <w:top w:val="none" w:sz="0" w:space="0" w:color="auto"/>
        <w:left w:val="none" w:sz="0" w:space="0" w:color="auto"/>
        <w:bottom w:val="none" w:sz="0" w:space="0" w:color="auto"/>
        <w:right w:val="none" w:sz="0" w:space="0" w:color="auto"/>
      </w:divBdr>
      <w:divsChild>
        <w:div w:id="484930372">
          <w:marLeft w:val="446"/>
          <w:marRight w:val="0"/>
          <w:marTop w:val="0"/>
          <w:marBottom w:val="0"/>
          <w:divBdr>
            <w:top w:val="none" w:sz="0" w:space="0" w:color="auto"/>
            <w:left w:val="none" w:sz="0" w:space="0" w:color="auto"/>
            <w:bottom w:val="none" w:sz="0" w:space="0" w:color="auto"/>
            <w:right w:val="none" w:sz="0" w:space="0" w:color="auto"/>
          </w:divBdr>
        </w:div>
      </w:divsChild>
    </w:div>
    <w:div w:id="935865583">
      <w:bodyDiv w:val="1"/>
      <w:marLeft w:val="0"/>
      <w:marRight w:val="0"/>
      <w:marTop w:val="0"/>
      <w:marBottom w:val="0"/>
      <w:divBdr>
        <w:top w:val="none" w:sz="0" w:space="0" w:color="auto"/>
        <w:left w:val="none" w:sz="0" w:space="0" w:color="auto"/>
        <w:bottom w:val="none" w:sz="0" w:space="0" w:color="auto"/>
        <w:right w:val="none" w:sz="0" w:space="0" w:color="auto"/>
      </w:divBdr>
    </w:div>
    <w:div w:id="1162089607">
      <w:bodyDiv w:val="1"/>
      <w:marLeft w:val="0"/>
      <w:marRight w:val="0"/>
      <w:marTop w:val="0"/>
      <w:marBottom w:val="0"/>
      <w:divBdr>
        <w:top w:val="none" w:sz="0" w:space="0" w:color="auto"/>
        <w:left w:val="none" w:sz="0" w:space="0" w:color="auto"/>
        <w:bottom w:val="none" w:sz="0" w:space="0" w:color="auto"/>
        <w:right w:val="none" w:sz="0" w:space="0" w:color="auto"/>
      </w:divBdr>
    </w:div>
    <w:div w:id="1413236445">
      <w:bodyDiv w:val="1"/>
      <w:marLeft w:val="0"/>
      <w:marRight w:val="0"/>
      <w:marTop w:val="0"/>
      <w:marBottom w:val="0"/>
      <w:divBdr>
        <w:top w:val="none" w:sz="0" w:space="0" w:color="auto"/>
        <w:left w:val="none" w:sz="0" w:space="0" w:color="auto"/>
        <w:bottom w:val="none" w:sz="0" w:space="0" w:color="auto"/>
        <w:right w:val="none" w:sz="0" w:space="0" w:color="auto"/>
      </w:divBdr>
      <w:divsChild>
        <w:div w:id="153480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youreurope/business/funding-grants/access-to-finance/search/en/financial-intermediaries?shs_term_node_tid_depth=21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if.org/what_we_do/guarantees/single_eu_debt_instrument/cosme-loan-facility-growth/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a.eu/youreurope/business/funding-grants/access-to-finance/search/en/financial-intermediaries?shs_term_node_tid_depth=2124" TargetMode="External"/><Relationship Id="rId11" Type="http://schemas.openxmlformats.org/officeDocument/2006/relationships/hyperlink" Target="http://cosme.kosgeb.gov.tr/" TargetMode="External"/><Relationship Id="rId5" Type="http://schemas.openxmlformats.org/officeDocument/2006/relationships/hyperlink" Target="http://europa.eu/youreurope/business/funding-grants/access-to-finance/search/en/financial-intermediaries?shs_term_node_tid_depth=2124" TargetMode="External"/><Relationship Id="rId10" Type="http://schemas.openxmlformats.org/officeDocument/2006/relationships/hyperlink" Target="http://www.eif.org/what_we_do/equity/single_eu_equity_instrument/cosme_efg/index.htm" TargetMode="External"/><Relationship Id="rId4" Type="http://schemas.openxmlformats.org/officeDocument/2006/relationships/webSettings" Target="webSettings.xml"/><Relationship Id="rId9" Type="http://schemas.openxmlformats.org/officeDocument/2006/relationships/hyperlink" Target="http://europa.eu/youreurope/business/funding-grants/access-to-finance/search/en/financial-intermediaries?shs_term_node_tid_depth=2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2017-12-25T07:05:00Z</dcterms:created>
  <dcterms:modified xsi:type="dcterms:W3CDTF">2017-12-25T08:07:00Z</dcterms:modified>
</cp:coreProperties>
</file>